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Style w:val="Style13"/>
          <w:rFonts w:cs="Times New Roman" w:ascii="IBM Plex Sans" w:hAnsi="IBM Plex Sans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Style w:val="Style13"/>
          <w:rFonts w:cs="Times New Roman" w:ascii="IBM Plex Sans" w:hAnsi="IBM Plex Sans"/>
          <w:b/>
          <w:bCs/>
          <w:sz w:val="24"/>
          <w:szCs w:val="24"/>
        </w:rPr>
        <w:t>ЗАТВЕРДЖЕНО</w:t>
      </w:r>
    </w:p>
    <w:p>
      <w:pPr>
        <w:pStyle w:val="Standard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IBM Plex Sans" w:hAnsi="IBM Plex Sans"/>
          <w:bCs/>
          <w:sz w:val="24"/>
          <w:szCs w:val="24"/>
        </w:rPr>
        <w:t xml:space="preserve">Наказ Генерального директора  </w:t>
      </w:r>
    </w:p>
    <w:p>
      <w:pPr>
        <w:pStyle w:val="Standard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IBM Plex Sans" w:hAnsi="IBM Plex Sans"/>
          <w:bCs/>
          <w:sz w:val="24"/>
          <w:szCs w:val="24"/>
        </w:rPr>
        <w:t>ДУ</w:t>
      </w:r>
      <w:r>
        <w:rPr>
          <w:rFonts w:eastAsia="Segoe UI" w:cs="Times New Roman" w:ascii="IBM Plex Sans" w:hAnsi="IBM Plex Sans"/>
          <w:bCs/>
          <w:sz w:val="24"/>
          <w:szCs w:val="24"/>
        </w:rPr>
        <w:t>«</w:t>
      </w:r>
      <w:r>
        <w:rPr>
          <w:rFonts w:cs="Times New Roman" w:ascii="IBM Plex Sans" w:hAnsi="IBM Plex Sans"/>
          <w:bCs/>
          <w:sz w:val="24"/>
          <w:szCs w:val="24"/>
        </w:rPr>
        <w:t>Херсонський ОЦКПХ МОЗ»</w:t>
      </w:r>
    </w:p>
    <w:p>
      <w:pPr>
        <w:pStyle w:val="Standard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IBM Plex Sans" w:hAnsi="IBM Plex Sans"/>
          <w:bCs/>
          <w:sz w:val="24"/>
          <w:szCs w:val="24"/>
        </w:rPr>
        <w:t xml:space="preserve">від «27» квітня 2026 року № 69-ос  </w:t>
      </w:r>
      <w:r>
        <w:rPr>
          <w:rFonts w:ascii="IBM Plex Sans" w:hAnsi="IBM Plex Sans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>
      <w:pPr>
        <w:pStyle w:val="Standard"/>
        <w:jc w:val="center"/>
        <w:rPr>
          <w:rFonts w:ascii="IBM Plex Sans" w:hAnsi="IBM Plex Sans"/>
          <w:b/>
          <w:bCs/>
          <w:sz w:val="24"/>
          <w:szCs w:val="24"/>
        </w:rPr>
      </w:pPr>
      <w:r>
        <w:rPr>
          <w:rFonts w:ascii="IBM Plex Sans" w:hAnsi="IBM Plex Sans"/>
          <w:b/>
          <w:bCs/>
          <w:sz w:val="24"/>
          <w:szCs w:val="24"/>
        </w:rPr>
      </w:r>
    </w:p>
    <w:p>
      <w:pPr>
        <w:pStyle w:val="Standard"/>
        <w:jc w:val="center"/>
        <w:rPr>
          <w:rFonts w:ascii="IBM Plex Sans" w:hAnsi="IBM Plex Sans"/>
          <w:sz w:val="24"/>
          <w:szCs w:val="24"/>
        </w:rPr>
      </w:pPr>
      <w:r>
        <w:rPr>
          <w:rFonts w:ascii="IBM Plex Sans" w:hAnsi="IBM Plex Sans"/>
          <w:b/>
          <w:bCs/>
          <w:sz w:val="24"/>
          <w:szCs w:val="24"/>
        </w:rPr>
        <w:t xml:space="preserve">Навчальна </w:t>
      </w:r>
      <w:r>
        <w:rPr>
          <w:rFonts w:eastAsia="Calibri" w:cs="Calibri" w:ascii="IBM Plex Sans" w:hAnsi="IBM Plex Sans"/>
          <w:b/>
          <w:bCs/>
          <w:color w:val="auto"/>
          <w:sz w:val="24"/>
          <w:szCs w:val="24"/>
        </w:rPr>
        <w:t>програма  заходу</w:t>
      </w:r>
    </w:p>
    <w:p>
      <w:pPr>
        <w:pStyle w:val="Standard"/>
        <w:rPr>
          <w:rFonts w:ascii="IBM Plex Sans" w:hAnsi="IBM Plex Sans"/>
          <w:sz w:val="24"/>
          <w:szCs w:val="24"/>
        </w:rPr>
      </w:pPr>
      <w:r>
        <w:rPr>
          <w:rFonts w:ascii="IBM Plex Sans" w:hAnsi="IBM Plex Sans"/>
          <w:sz w:val="24"/>
          <w:szCs w:val="24"/>
        </w:rPr>
      </w:r>
    </w:p>
    <w:tbl>
      <w:tblPr>
        <w:tblW w:w="9638" w:type="dxa"/>
        <w:jc w:val="left"/>
        <w:tblInd w:w="60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firstRow="1" w:noVBand="1" w:lastRow="0" w:firstColumn="1" w:lastColumn="0" w:noHBand="0" w:val="04a0"/>
      </w:tblPr>
      <w:tblGrid>
        <w:gridCol w:w="3461"/>
        <w:gridCol w:w="6177"/>
      </w:tblGrid>
      <w:tr>
        <w:trPr/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Times New Roman" w:cs="Times New Roman" w:ascii="IBM Plex Sans" w:hAnsi="IBM Plex Sans"/>
                <w:color w:val="auto"/>
                <w:sz w:val="24"/>
                <w:szCs w:val="24"/>
              </w:rPr>
              <w:t>Тема заходу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kern w:val="0"/>
                <w:sz w:val="24"/>
                <w:szCs w:val="24"/>
                <w:lang w:eastAsia="uk-UA" w:bidi="ar-SA"/>
              </w:rPr>
              <w:t>Хімічні фактори навколишнього середовища. Лабораторні дослідження повітря закритих приміщень.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Вид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Семінар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Цільова аудиторія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/>
              <w:suppressAutoHyphens w:val="false"/>
              <w:spacing w:before="100" w:after="100"/>
              <w:textAlignment w:val="auto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Для фахівців у галузі біології, екології, медицини або суміжних спеціальностей. Для фахівців середньої ланки  – у сфері санітарно-гігієнічних досліджень.</w:t>
            </w:r>
          </w:p>
        </w:tc>
      </w:tr>
      <w:tr>
        <w:trPr/>
        <w:tc>
          <w:tcPr>
            <w:tcW w:w="34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Times New Roman" w:cs="Times New Roman" w:ascii="IBM Plex Sans" w:hAnsi="IBM Plex Sans"/>
                <w:color w:val="auto"/>
                <w:sz w:val="24"/>
                <w:szCs w:val="24"/>
              </w:rPr>
              <w:t>Мета заходу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false"/>
              <w:spacing w:beforeAutospacing="1" w:after="0"/>
              <w:textAlignment w:val="auto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Підвищити компетентність фахівців у виявленні, оцінці та контролі хімічних забруднювачів повітря в закритих приміщеннях.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Перелік компетентностей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/>
              <w:suppressAutoHyphens w:val="false"/>
              <w:spacing w:before="100" w:after="100"/>
              <w:textAlignment w:val="auto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Учасники отримають знання з наступних питань:</w:t>
            </w:r>
          </w:p>
          <w:p>
            <w:pPr>
              <w:pStyle w:val="NormalWeb"/>
              <w:spacing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 xml:space="preserve">1. Класифікація та характеристики хімічних факторів довкілля. Показник </w:t>
            </w:r>
            <w:r>
              <w:rPr>
                <w:rFonts w:cs="Arial" w:ascii="IBM Plex Sans" w:hAnsi="IBM Plex Sans"/>
                <w:color w:val="202122"/>
                <w:sz w:val="24"/>
                <w:szCs w:val="24"/>
                <w:shd w:fill="FFFFFF" w:val="clear"/>
              </w:rPr>
              <w:t xml:space="preserve"> AQI.</w:t>
            </w:r>
          </w:p>
          <w:p>
            <w:pPr>
              <w:pStyle w:val="NormalWeb"/>
              <w:spacing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2. Методи відбору проб та лабораторного аналізу повітря закритих приміщень.</w:t>
            </w:r>
          </w:p>
          <w:p>
            <w:pPr>
              <w:pStyle w:val="NormalWeb"/>
              <w:spacing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3. Стандарти та нормативи якості повітря в закритих приміщеннях.</w:t>
            </w:r>
          </w:p>
          <w:p>
            <w:pPr>
              <w:pStyle w:val="NormalWeb"/>
              <w:spacing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4. Інтерпретація результатів лабораторних досліджень.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Опис структури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10.00 - 10.05 — Вітальне слово</w:t>
            </w:r>
          </w:p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10.05 - 10.50 — Лекція</w:t>
            </w:r>
          </w:p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10.50 - 11.00 — Перерва</w:t>
            </w:r>
          </w:p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11.00 - 11.45 — Лекція</w:t>
            </w:r>
          </w:p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11.45 - 13.00 — Оцінювання набутих знань</w:t>
            </w:r>
          </w:p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 xml:space="preserve">13.00            </w:t>
            </w:r>
            <w:bookmarkStart w:id="0" w:name="_GoBack"/>
            <w:bookmarkEnd w:id="0"/>
            <w:r>
              <w:rPr>
                <w:rFonts w:cs="Times New Roman" w:ascii="IBM Plex Sans" w:hAnsi="IBM Plex Sans"/>
                <w:sz w:val="24"/>
                <w:szCs w:val="24"/>
              </w:rPr>
              <w:t xml:space="preserve">    — Завершення заходу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Загальний обсяг навчального навантаження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9</w:t>
            </w:r>
            <w:r>
              <w:rPr>
                <w:rFonts w:cs="Times New Roman" w:ascii="IBM Plex Sans" w:hAnsi="IBM Plex Sans"/>
                <w:sz w:val="24"/>
                <w:szCs w:val="24"/>
              </w:rPr>
              <w:t xml:space="preserve">0 хвилин — </w:t>
            </w:r>
            <w:r>
              <w:rPr>
                <w:rFonts w:cs="Times New Roman" w:ascii="IBM Plex Sans" w:hAnsi="IBM Plex Sans"/>
                <w:sz w:val="24"/>
                <w:szCs w:val="24"/>
              </w:rPr>
              <w:t xml:space="preserve">2 </w:t>
            </w:r>
            <w:r>
              <w:rPr>
                <w:rFonts w:cs="Times New Roman" w:ascii="IBM Plex Sans" w:hAnsi="IBM Plex Sans"/>
                <w:sz w:val="24"/>
                <w:szCs w:val="24"/>
              </w:rPr>
              <w:t>академічних години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Форми організації та проведення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Семінар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Методи організації та проведення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Дистанційне навчання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Матеріально-технічне забезпечення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Комп’ютерна техніка. Інтернет.</w:t>
            </w:r>
          </w:p>
        </w:tc>
      </w:tr>
      <w:tr>
        <w:trPr>
          <w:trHeight w:val="1488" w:hRule="atLeast"/>
        </w:trPr>
        <w:tc>
          <w:tcPr>
            <w:tcW w:w="3461" w:type="dxa"/>
            <w:tcBorders>
              <w:left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Форми підсумкового контролю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Оцінка набутих знань через тестування -10 тестових завдань. Для успішного проходження тестування слухач повинен правильно відповісти не менше ніж на 80% питань ( 8 правильних відповідей. Тривалість тестування 1 година 15 хвилин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Посилання для реєстрації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/>
            </w:pPr>
            <w:hyperlink r:id="rId2">
              <w:r>
                <w:rPr>
                  <w:rStyle w:val="Hyperlink"/>
                  <w:rFonts w:ascii="IBM Plex Sans" w:hAnsi="IBM Plex Sans"/>
                  <w:b w:val="false"/>
                  <w:bCs/>
                  <w:i w:val="false"/>
                  <w:caps w:val="false"/>
                  <w:smallCaps w:val="false"/>
                  <w:color w:val="014DAB"/>
                  <w:spacing w:val="0"/>
                  <w:sz w:val="24"/>
                  <w:szCs w:val="24"/>
                  <w:u w:val="single"/>
                </w:rPr>
                <w:t>https://docs.google.com/forms/d/e/1FAIpQLScJzOsT1Xkjkkvd9DzIKu_XcMG8j4tlNJHr1ctKHa8jweFGlw/viewform?usp=dialog</w:t>
              </w:r>
            </w:hyperlink>
          </w:p>
        </w:tc>
      </w:tr>
    </w:tbl>
    <w:p>
      <w:pPr>
        <w:pStyle w:val="Standard"/>
        <w:rPr>
          <w:rFonts w:ascii="Times New Roman" w:hAnsi="Times New Roman" w:eastAsia="Liberation Serif" w:cs="Liberation Serif"/>
          <w:color w:val="auto"/>
          <w:sz w:val="28"/>
          <w:szCs w:val="28"/>
        </w:rPr>
      </w:pPr>
      <w:r>
        <w:rPr>
          <w:rFonts w:eastAsia="Liberation Serif" w:cs="Liberation Serif" w:ascii="Times New Roman" w:hAnsi="Times New Roman"/>
          <w:color w:val="auto"/>
          <w:sz w:val="28"/>
          <w:szCs w:val="28"/>
        </w:rPr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IBM Plex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dd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paragraph" w:styleId="Heading4">
    <w:name w:val="heading 4"/>
    <w:basedOn w:val="user"/>
    <w:next w:val="BodyText"/>
    <w:qFormat/>
    <w:pPr>
      <w:suppressAutoHyphens w:val="true"/>
      <w:spacing w:before="120" w:after="0"/>
      <w:outlineLvl w:val="3"/>
    </w:pPr>
    <w:rPr>
      <w:rFonts w:ascii="Liberation Serif" w:hAnsi="Liberation Serif" w:eastAsia="NSimSun" w:cs="Liberation Serif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Шрифт абзацу за замовчуванням"/>
    <w:qFormat/>
    <w:rsid w:val="004c4104"/>
    <w:rPr/>
  </w:style>
  <w:style w:type="character" w:styleId="Emphasis">
    <w:name w:val="Emphasis"/>
    <w:basedOn w:val="DefaultParagraphFont"/>
    <w:uiPriority w:val="20"/>
    <w:qFormat/>
    <w:rsid w:val="00836fcc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Верхній колонтитул Знак"/>
    <w:basedOn w:val="Style13"/>
    <w:qFormat/>
    <w:rPr>
      <w:rFonts w:cs="Mangal"/>
      <w:szCs w:val="21"/>
    </w:rPr>
  </w:style>
  <w:style w:type="character" w:styleId="Style15">
    <w:name w:val="Нижній колонтитул Знак"/>
    <w:basedOn w:val="Style13"/>
    <w:qFormat/>
    <w:rPr>
      <w:rFonts w:cs="Mangal"/>
      <w:szCs w:val="21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7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c410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paragraph" w:styleId="user2" w:customStyle="1">
    <w:name w:val="Вміст таблиці (user)"/>
    <w:basedOn w:val="Standard"/>
    <w:qFormat/>
    <w:rsid w:val="004c4104"/>
    <w:pPr>
      <w:suppressLineNumbers/>
    </w:pPr>
    <w:rPr/>
  </w:style>
  <w:style w:type="paragraph" w:styleId="user3" w:customStyle="1">
    <w:name w:val="Примітка (user)"/>
    <w:basedOn w:val="Standard"/>
    <w:qFormat/>
    <w:rsid w:val="004c4104"/>
    <w:pPr/>
    <w:rPr>
      <w:sz w:val="20"/>
      <w:szCs w:val="20"/>
    </w:rPr>
  </w:style>
  <w:style w:type="paragraph" w:styleId="ListParagraph">
    <w:name w:val="List Paragraph"/>
    <w:basedOn w:val="Standard"/>
    <w:qFormat/>
    <w:rsid w:val="004c4104"/>
    <w:pPr>
      <w:ind w:left="720"/>
    </w:pPr>
    <w:rPr/>
  </w:style>
  <w:style w:type="paragraph" w:styleId="user4" w:customStyle="1">
    <w:name w:val="Верхній і нижній колонтитули (user)"/>
    <w:basedOn w:val="Standard"/>
    <w:qFormat/>
    <w:rsid w:val="004c410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8" w:customStyle="1">
    <w:name w:val="Верхній і нижній колонтитули"/>
    <w:basedOn w:val="Normal"/>
    <w:qFormat/>
    <w:pPr/>
    <w:rPr/>
  </w:style>
  <w:style w:type="paragraph" w:styleId="1" w:customStyle="1">
    <w:name w:val="Верхний колонтитул1"/>
    <w:basedOn w:val="user4"/>
    <w:qFormat/>
    <w:rsid w:val="004c4104"/>
    <w:pPr/>
    <w:rPr/>
  </w:style>
  <w:style w:type="paragraph" w:styleId="Textbody" w:customStyle="1">
    <w:name w:val="Text body"/>
    <w:basedOn w:val="Standard"/>
    <w:qFormat/>
    <w:rsid w:val="004c4104"/>
    <w:pPr>
      <w:spacing w:lineRule="auto" w:line="276" w:before="0" w:after="283"/>
    </w:pPr>
    <w:rPr/>
  </w:style>
  <w:style w:type="paragraph" w:styleId="NormalWeb">
    <w:name w:val="Normal (Web)"/>
    <w:basedOn w:val="Normal"/>
    <w:uiPriority w:val="99"/>
    <w:qFormat/>
    <w:rsid w:val="00836fcc"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color w:val="auto"/>
      <w:kern w:val="0"/>
      <w:lang w:eastAsia="uk-UA" w:bidi="ar-SA"/>
    </w:rPr>
  </w:style>
  <w:style w:type="paragraph" w:styleId="user5">
    <w:name w:val="Заголовок таблиці (user)"/>
    <w:basedOn w:val="user2"/>
    <w:qFormat/>
    <w:pPr>
      <w:suppressAutoHyphens w:val="true"/>
      <w:jc w:val="center"/>
    </w:pPr>
    <w:rPr>
      <w:b/>
      <w:bCs/>
    </w:rPr>
  </w:style>
  <w:style w:type="paragraph" w:styleId="Header">
    <w:name w:val="header"/>
    <w:basedOn w:val="Style20"/>
    <w:pPr>
      <w:tabs>
        <w:tab w:val="clear" w:pos="708"/>
        <w:tab w:val="center" w:pos="4819" w:leader="none"/>
        <w:tab w:val="right" w:pos="9639" w:leader="none"/>
      </w:tabs>
      <w:suppressAutoHyphens w:val="true"/>
    </w:pPr>
    <w:rPr>
      <w:rFonts w:cs="Mangal"/>
      <w:szCs w:val="21"/>
    </w:rPr>
  </w:style>
  <w:style w:type="paragraph" w:styleId="Footer">
    <w:name w:val="footer"/>
    <w:basedOn w:val="Style20"/>
    <w:pPr>
      <w:tabs>
        <w:tab w:val="clear" w:pos="708"/>
        <w:tab w:val="center" w:pos="4819" w:leader="none"/>
        <w:tab w:val="right" w:pos="9639" w:leader="none"/>
      </w:tabs>
      <w:suppressAutoHyphens w:val="true"/>
    </w:pPr>
    <w:rPr>
      <w:rFonts w:cs="Mangal"/>
      <w:szCs w:val="21"/>
    </w:rPr>
  </w:style>
  <w:style w:type="paragraph" w:styleId="Style19">
    <w:name w:val="Назва об'є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0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numbering" w:styleId="user6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e/1FAIpQLScJzOsT1Xkjkkvd9DzIKu_XcMG8j4tlNJHr1ctKHa8jweFGlw/viewform?usp=dialo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LibreOffice/25.8.5.2$Windows_X86_64 LibreOffice_project/9c8b85f387cc00a89945a79c9e6239f32e450ac2</Application>
  <AppVersion>15.0000</AppVersion>
  <Pages>2</Pages>
  <Words>204</Words>
  <Characters>1521</Characters>
  <CharactersWithSpaces>2222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2025-10-02T15:47:00Z</dcterms:created>
  <dc:creator>оні</dc:creator>
  <dc:description/>
  <dc:language>uk-UA</dc:language>
  <cp:lastModifiedBy/>
  <dcterms:modified xsi:type="dcterms:W3CDTF">2026-04-29T10:24:11Z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