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Times New Roman" w:hAnsi="Times New Roman" w:cs="Times New Roman"/>
        </w:rPr>
      </w:pPr>
      <w:r>
        <w:rPr>
          <w:rFonts w:ascii="IBM Plex Sans" w:hAnsi="IBM Plex Sans"/>
        </w:rPr>
        <w:t xml:space="preserve">                                                                                         </w:t>
      </w:r>
      <w:r>
        <w:rPr>
          <w:rStyle w:val="Style14"/>
          <w:rFonts w:ascii="IBM Plex Sans" w:hAnsi="IBM Plex Sans"/>
          <w:color w:val="FF0000"/>
        </w:rPr>
        <w:t xml:space="preserve">      </w:t>
      </w:r>
      <w:r>
        <w:rPr>
          <w:rStyle w:val="Style14"/>
          <w:rFonts w:cs="Times New Roman" w:ascii="Times New Roman" w:hAnsi="Times New Roman"/>
          <w:bCs/>
        </w:rPr>
        <w:t>ЗАТВЕРДЖЕНО</w:t>
      </w:r>
    </w:p>
    <w:p>
      <w:pPr>
        <w:pStyle w:val="Standard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                                                                                          </w:t>
      </w:r>
      <w:r>
        <w:rPr>
          <w:rFonts w:cs="Times New Roman" w:ascii="Times New Roman" w:hAnsi="Times New Roman"/>
          <w:bCs/>
        </w:rPr>
        <w:t>Наказ ДУ»Херсонський ОЦКПХ МОЗ»</w:t>
      </w:r>
    </w:p>
    <w:p>
      <w:pPr>
        <w:pStyle w:val="Standard"/>
        <w:jc w:val="center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  <w:t xml:space="preserve">                                                                                      </w:t>
      </w:r>
      <w:r>
        <w:rPr>
          <w:rFonts w:cs="Times New Roman" w:ascii="Times New Roman" w:hAnsi="Times New Roman"/>
          <w:bCs/>
        </w:rPr>
        <w:t xml:space="preserve">від «07» листопада 2025року № 311-ос  </w:t>
      </w:r>
    </w:p>
    <w:p>
      <w:pPr>
        <w:pStyle w:val="Standard"/>
        <w:jc w:val="center"/>
        <w:rPr>
          <w:rFonts w:ascii="IBM Plex Sans" w:hAnsi="IBM Plex Sans"/>
          <w:b/>
          <w:bCs/>
        </w:rPr>
      </w:pPr>
      <w:r>
        <w:rPr>
          <w:rFonts w:ascii="IBM Plex Sans" w:hAnsi="IBM Plex Sans"/>
          <w:b/>
          <w:bCs/>
        </w:rPr>
        <w:t xml:space="preserve">                                                                                                                                     </w:t>
      </w:r>
    </w:p>
    <w:p>
      <w:pPr>
        <w:pStyle w:val="Standard"/>
        <w:jc w:val="center"/>
        <w:rPr>
          <w:rFonts w:ascii="IBM Plex Sans" w:hAnsi="IBM Plex Sans"/>
          <w:b/>
          <w:bCs/>
        </w:rPr>
      </w:pPr>
      <w:r>
        <w:rPr>
          <w:rFonts w:ascii="IBM Plex Sans" w:hAnsi="IBM Plex Sans"/>
          <w:b/>
          <w:bCs/>
        </w:rPr>
      </w:r>
    </w:p>
    <w:p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Навчальна </w:t>
      </w:r>
      <w:r>
        <w:rPr>
          <w:rFonts w:eastAsia="Calibri" w:cs="Calibri" w:ascii="Times New Roman" w:hAnsi="Times New Roman"/>
          <w:b/>
          <w:bCs/>
          <w:color w:val="auto"/>
          <w:sz w:val="28"/>
          <w:szCs w:val="28"/>
        </w:rPr>
        <w:t>програма  заходу</w:t>
      </w:r>
    </w:p>
    <w:p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38" w:type="dxa"/>
        <w:jc w:val="left"/>
        <w:tblInd w:w="60" w:type="dxa"/>
        <w:tblLayout w:type="fixed"/>
        <w:tblCellMar>
          <w:top w:w="0" w:type="dxa"/>
          <w:left w:w="55" w:type="dxa"/>
          <w:bottom w:w="0" w:type="dxa"/>
          <w:right w:w="55" w:type="dxa"/>
        </w:tblCellMar>
        <w:tblLook w:firstRow="1" w:noVBand="1" w:lastRow="0" w:firstColumn="1" w:lastColumn="0" w:noHBand="0" w:val="04a0"/>
      </w:tblPr>
      <w:tblGrid>
        <w:gridCol w:w="3463"/>
        <w:gridCol w:w="6175"/>
      </w:tblGrid>
      <w:tr>
        <w:trPr/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Тема заходу</w:t>
            </w:r>
          </w:p>
        </w:tc>
        <w:tc>
          <w:tcPr>
            <w:tcW w:w="6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kern w:val="0"/>
                <w:lang w:eastAsia="uk-UA" w:bidi="ar-SA"/>
              </w:rPr>
              <w:t>Хімічні фактори навколишнього середовища. Лабораторні дослідження повітря закритих приміщень.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заходу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Семінар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Цільова аудиторія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widowControl/>
              <w:suppressAutoHyphens w:val="false"/>
              <w:spacing w:before="100" w:after="100"/>
              <w:textAlignment w:val="auto"/>
              <w:rPr/>
            </w:pPr>
            <w:r>
              <w:rPr/>
              <w:t>Для фахівців у галузі біології, екології, медицини або суміжних спеціальностей. Для фахівців середньої ланки  – у сфері санітарно-гігієнічних досліджень.</w:t>
            </w:r>
          </w:p>
        </w:tc>
      </w:tr>
      <w:tr>
        <w:trPr/>
        <w:tc>
          <w:tcPr>
            <w:tcW w:w="346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</w:rPr>
              <w:t>Мета заходу</w:t>
            </w:r>
          </w:p>
        </w:tc>
        <w:tc>
          <w:tcPr>
            <w:tcW w:w="61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false"/>
              <w:spacing w:beforeAutospacing="1" w:after="0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Підвищити компетентність фахівців у виявленні, оцінці та контролі хімічних забруднювачів повітря в закритих приміщеннях.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Перелік компетентностей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widowControl/>
              <w:suppressAutoHyphens w:val="false"/>
              <w:spacing w:before="100" w:after="100"/>
              <w:textAlignment w:val="auto"/>
              <w:rPr/>
            </w:pPr>
            <w:r>
              <w:rPr/>
              <w:t>Учасники отримають знання з наступних питань:</w:t>
            </w:r>
          </w:p>
          <w:p>
            <w:pPr>
              <w:pStyle w:val="NormalWeb"/>
              <w:spacing w:before="0" w:after="0"/>
              <w:rPr/>
            </w:pPr>
            <w:r>
              <w:rPr/>
              <w:t xml:space="preserve">1. Класифікація та характеристики хімічних факторів довкілля. Показник </w:t>
            </w:r>
            <w:r>
              <w:rPr>
                <w:rFonts w:cs="Arial" w:ascii="Arial" w:hAnsi="Arial"/>
                <w:color w:val="202122"/>
                <w:shd w:fill="FFFFFF" w:val="clear"/>
              </w:rPr>
              <w:t xml:space="preserve"> AQI.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2. Методи відбору проб та лабораторного аналізу повітря закритих приміщень.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3. Стандарти та нормативи якості повітря в закритих приміщеннях.</w:t>
            </w:r>
          </w:p>
          <w:p>
            <w:pPr>
              <w:pStyle w:val="NormalWeb"/>
              <w:spacing w:before="0" w:after="0"/>
              <w:rPr/>
            </w:pPr>
            <w:r>
              <w:rPr/>
              <w:t>4. Інтерпретація результатів лабораторних досліджень.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 структури заходу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10.00 - 10.05 — Вітальне слово</w:t>
            </w:r>
          </w:p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10.05 - 10.50 — Лекція</w:t>
            </w:r>
          </w:p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10.50 - 11.00 — Перерва</w:t>
            </w:r>
          </w:p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11.00 - 11.45 — Лекція</w:t>
            </w:r>
          </w:p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11.45 - 13.00 — Оцінювання набутих знань</w:t>
            </w:r>
          </w:p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13.00            </w:t>
            </w:r>
            <w:bookmarkStart w:id="0" w:name="_GoBack"/>
            <w:bookmarkEnd w:id="0"/>
            <w:r>
              <w:rPr>
                <w:rFonts w:cs="Times New Roman" w:ascii="Times New Roman" w:hAnsi="Times New Roman"/>
              </w:rPr>
              <w:t xml:space="preserve"> — Завершення заходу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Загальний обсяг навчального навантаження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180 хвилин — 4 академічних години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 організації та проведення заходу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Семінар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 організації та проведення заходу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Дистанційне навчання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Матеріально-технічне забезпечення заходу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Комп’ютерна техніка. Інтернет.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 підсумкового контролю</w:t>
            </w:r>
          </w:p>
        </w:tc>
        <w:tc>
          <w:tcPr>
            <w:tcW w:w="6175" w:type="dxa"/>
            <w:tcBorders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Оцінка набутих знань через тестування -10 тестових завдань. Для успішного проходження тестування слухач повинен правильно відповісти не менше ніж на 80% питань ( 8 правильних відповідей. Тривалість тестування 1 година 15 хвилин</w:t>
            </w:r>
          </w:p>
        </w:tc>
      </w:tr>
      <w:tr>
        <w:trPr/>
        <w:tc>
          <w:tcPr>
            <w:tcW w:w="3463" w:type="dxa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Посилання для реєстрації</w:t>
            </w:r>
          </w:p>
        </w:tc>
        <w:tc>
          <w:tcPr>
            <w:tcW w:w="617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/>
              <w:rPr>
                <w:rFonts w:ascii="Times New Roman" w:hAnsi="Times New Roman" w:cs="Times New Roman"/>
              </w:rPr>
            </w:pPr>
            <w:hyperlink r:id="rId2">
              <w:r>
                <w:rPr>
                  <w:rStyle w:val="Hyperlink"/>
                  <w:rFonts w:cs="Times New Roman" w:ascii="IBM Plex Sans" w:hAnsi="IBM Plex Sans"/>
                  <w:b w:val="false"/>
                  <w:i w:val="false"/>
                  <w:caps w:val="false"/>
                  <w:smallCaps w:val="false"/>
                  <w:color w:val="014DAB"/>
                  <w:spacing w:val="0"/>
                  <w:sz w:val="24"/>
                  <w:u w:val="single"/>
                </w:rPr>
                <w:t>https://docs.google.com/forms/d/e/1FAIpQLSdMjUro1bgTImhSDYu5Cm0dKTheVLQM8grZLODH0MQBLhgwvw/viewform?usp=dialog</w:t>
              </w:r>
            </w:hyperlink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</w:tbl>
    <w:p>
      <w:pPr>
        <w:pStyle w:val="Standard"/>
        <w:rPr>
          <w:rFonts w:ascii="Times New Roman" w:hAnsi="Times New Roman" w:eastAsia="Liberation Serif" w:cs="Liberation Serif"/>
          <w:color w:val="auto"/>
          <w:sz w:val="28"/>
          <w:szCs w:val="28"/>
        </w:rPr>
      </w:pPr>
      <w:r>
        <w:rPr>
          <w:rFonts w:eastAsia="Liberation Serif" w:cs="Liberation Serif" w:ascii="Times New Roman" w:hAnsi="Times New Roman"/>
          <w:color w:val="auto"/>
          <w:sz w:val="28"/>
          <w:szCs w:val="28"/>
        </w:rPr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IBM Plex Sans">
    <w:charset w:val="cc"/>
    <w:family w:val="swiss"/>
    <w:pitch w:val="variable"/>
  </w:font>
  <w:font w:name="Arial">
    <w:charset w:val="cc"/>
    <w:family w:val="swiss"/>
    <w:pitch w:val="variable"/>
  </w:font>
  <w:font w:name="IBM Plex Sans"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0dd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Шрифт абзацу за замовчуванням"/>
    <w:qFormat/>
    <w:rsid w:val="004c4104"/>
    <w:rPr/>
  </w:style>
  <w:style w:type="character" w:styleId="Emphasis">
    <w:name w:val="Emphasis"/>
    <w:basedOn w:val="DefaultParagraphFont"/>
    <w:uiPriority w:val="20"/>
    <w:qFormat/>
    <w:rsid w:val="00836fcc"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4c4104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kern w:val="2"/>
      <w:sz w:val="24"/>
      <w:szCs w:val="24"/>
      <w:lang w:val="uk-UA" w:eastAsia="zh-CN" w:bidi="hi-IN"/>
    </w:rPr>
  </w:style>
  <w:style w:type="paragraph" w:styleId="user2" w:customStyle="1">
    <w:name w:val="Вміст таблиці (user)"/>
    <w:basedOn w:val="Standard"/>
    <w:qFormat/>
    <w:rsid w:val="004c4104"/>
    <w:pPr>
      <w:suppressLineNumbers/>
    </w:pPr>
    <w:rPr/>
  </w:style>
  <w:style w:type="paragraph" w:styleId="user3" w:customStyle="1">
    <w:name w:val="Примітка (user)"/>
    <w:basedOn w:val="Standard"/>
    <w:qFormat/>
    <w:rsid w:val="004c4104"/>
    <w:pPr/>
    <w:rPr>
      <w:sz w:val="20"/>
      <w:szCs w:val="20"/>
    </w:rPr>
  </w:style>
  <w:style w:type="paragraph" w:styleId="ListParagraph">
    <w:name w:val="List Paragraph"/>
    <w:basedOn w:val="Standard"/>
    <w:qFormat/>
    <w:rsid w:val="004c4104"/>
    <w:pPr>
      <w:ind w:left="720"/>
    </w:pPr>
    <w:rPr/>
  </w:style>
  <w:style w:type="paragraph" w:styleId="user4" w:customStyle="1">
    <w:name w:val="Верхній і нижній колонтитули (user)"/>
    <w:basedOn w:val="Standard"/>
    <w:qFormat/>
    <w:rsid w:val="004c4104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17" w:customStyle="1">
    <w:name w:val="Верхній і нижній колонтитули"/>
    <w:basedOn w:val="Normal"/>
    <w:qFormat/>
    <w:pPr/>
    <w:rPr/>
  </w:style>
  <w:style w:type="paragraph" w:styleId="1" w:customStyle="1">
    <w:name w:val="Верхний колонтитул1"/>
    <w:basedOn w:val="user4"/>
    <w:qFormat/>
    <w:rsid w:val="004c4104"/>
    <w:pPr/>
    <w:rPr/>
  </w:style>
  <w:style w:type="paragraph" w:styleId="Textbody" w:customStyle="1">
    <w:name w:val="Text body"/>
    <w:basedOn w:val="Standard"/>
    <w:qFormat/>
    <w:rsid w:val="004c4104"/>
    <w:pPr>
      <w:spacing w:lineRule="auto" w:line="276" w:before="0" w:after="283"/>
    </w:pPr>
    <w:rPr/>
  </w:style>
  <w:style w:type="paragraph" w:styleId="NormalWeb">
    <w:name w:val="Normal (Web)"/>
    <w:basedOn w:val="Normal"/>
    <w:uiPriority w:val="99"/>
    <w:qFormat/>
    <w:rsid w:val="00836fcc"/>
    <w:pPr>
      <w:widowControl/>
      <w:suppressAutoHyphens w:val="false"/>
      <w:spacing w:before="100" w:after="100"/>
      <w:textAlignment w:val="auto"/>
    </w:pPr>
    <w:rPr>
      <w:rFonts w:ascii="Times New Roman" w:hAnsi="Times New Roman" w:eastAsia="Times New Roman" w:cs="Times New Roman"/>
      <w:color w:val="auto"/>
      <w:kern w:val="0"/>
      <w:lang w:eastAsia="uk-UA" w:bidi="ar-SA"/>
    </w:rPr>
  </w:style>
  <w:style w:type="numbering" w:styleId="user5" w:customStyle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e/1FAIpQLSdMjUro1bgTImhSDYu5Cm0dKTheVLQM8grZLODH0MQBLhgwvw/viewform?usp=dialo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LibreOffice/25.8.2.2$Windows_X86_64 LibreOffice_project/d401f2107ccab8f924a8e2df40f573aab7605b6f</Application>
  <AppVersion>15.0000</AppVersion>
  <Pages>1</Pages>
  <Words>201</Words>
  <Characters>1505</Characters>
  <CharactersWithSpaces>2101</CharactersWithSpaces>
  <Paragraphs>39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2025-10-02T15:47:00Z</dcterms:created>
  <dc:creator>оні</dc:creator>
  <dc:description/>
  <dc:language>uk-UA</dc:language>
  <cp:lastModifiedBy/>
  <dcterms:modified xsi:type="dcterms:W3CDTF">2025-11-19T10:09:01Z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